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95" w:rsidRPr="007D707B" w:rsidRDefault="007D707B" w:rsidP="00C3179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707B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31795" w:rsidRPr="007D707B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Pr="007D707B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C31795" w:rsidRPr="007D707B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C5088" w:rsidRPr="007D707B" w:rsidRDefault="007C5088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7D707B" w:rsidRDefault="005F2F3E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7D707B">
        <w:rPr>
          <w:rFonts w:ascii="Times New Roman" w:hAnsi="Times New Roman" w:cs="Times New Roman"/>
          <w:b/>
          <w:sz w:val="24"/>
          <w:szCs w:val="24"/>
        </w:rPr>
        <w:t>юридических лиц и индивидуальных предпринимателей</w:t>
      </w:r>
      <w:r w:rsidR="00D26658" w:rsidRPr="007D707B">
        <w:rPr>
          <w:rFonts w:ascii="Times New Roman" w:hAnsi="Times New Roman" w:cs="Times New Roman"/>
          <w:b/>
          <w:sz w:val="24"/>
          <w:szCs w:val="24"/>
        </w:rPr>
        <w:br/>
      </w:r>
      <w:r w:rsidRPr="007D707B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7D707B">
        <w:rPr>
          <w:rFonts w:ascii="Times New Roman" w:hAnsi="Times New Roman" w:cs="Times New Roman"/>
          <w:b/>
          <w:sz w:val="24"/>
          <w:szCs w:val="24"/>
        </w:rPr>
        <w:t xml:space="preserve">свыше </w:t>
      </w:r>
      <w:r w:rsidRPr="007D707B">
        <w:rPr>
          <w:rFonts w:ascii="Times New Roman" w:hAnsi="Times New Roman" w:cs="Times New Roman"/>
          <w:b/>
          <w:sz w:val="24"/>
          <w:szCs w:val="24"/>
        </w:rPr>
        <w:t>15</w:t>
      </w:r>
      <w:r w:rsidR="0058149F" w:rsidRPr="007D707B">
        <w:rPr>
          <w:rFonts w:ascii="Times New Roman" w:hAnsi="Times New Roman" w:cs="Times New Roman"/>
          <w:b/>
          <w:sz w:val="24"/>
          <w:szCs w:val="24"/>
        </w:rPr>
        <w:t>0</w:t>
      </w:r>
      <w:r w:rsidRPr="007D707B">
        <w:rPr>
          <w:rFonts w:ascii="Times New Roman" w:hAnsi="Times New Roman" w:cs="Times New Roman"/>
          <w:b/>
          <w:sz w:val="24"/>
          <w:szCs w:val="24"/>
        </w:rPr>
        <w:t xml:space="preserve"> кВт</w:t>
      </w:r>
      <w:r w:rsidR="0037161F" w:rsidRPr="007D707B">
        <w:rPr>
          <w:rFonts w:ascii="Times New Roman" w:hAnsi="Times New Roman" w:cs="Times New Roman"/>
          <w:b/>
          <w:sz w:val="24"/>
          <w:szCs w:val="24"/>
        </w:rPr>
        <w:t xml:space="preserve"> до 670 кВт</w:t>
      </w:r>
    </w:p>
    <w:p w:rsidR="00D26658" w:rsidRPr="007D707B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EEC" w:rsidRPr="007D707B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7D70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7D707B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996EEC" w:rsidRPr="007D707B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7D707B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58149F" w:rsidRPr="007D707B">
        <w:rPr>
          <w:rFonts w:ascii="Times New Roman" w:hAnsi="Times New Roman" w:cs="Times New Roman"/>
          <w:sz w:val="24"/>
          <w:szCs w:val="24"/>
        </w:rPr>
        <w:t xml:space="preserve">по одному источнику энергоснабжения </w:t>
      </w:r>
      <w:r w:rsidR="00996EEC" w:rsidRPr="007D707B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7D707B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996EEC" w:rsidRPr="007D707B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7D707B">
        <w:rPr>
          <w:rFonts w:ascii="Times New Roman" w:hAnsi="Times New Roman" w:cs="Times New Roman"/>
          <w:sz w:val="24"/>
          <w:szCs w:val="24"/>
        </w:rPr>
        <w:t>(с учетом ранее присоединенных в данной точке присоединения энергопринимающих устройств)</w:t>
      </w:r>
    </w:p>
    <w:p w:rsidR="00D26658" w:rsidRPr="007D707B" w:rsidRDefault="008C2E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7D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8" w:rsidRPr="007D707B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с максимальной мощностью свыше 150 кВт и менее 670 к</w:t>
      </w:r>
      <w:proofErr w:type="gramStart"/>
      <w:r w:rsidR="00D26658" w:rsidRPr="007D707B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D26658" w:rsidRPr="007D707B">
        <w:rPr>
          <w:rFonts w:ascii="Times New Roman" w:hAnsi="Times New Roman" w:cs="Times New Roman"/>
          <w:sz w:val="24"/>
          <w:szCs w:val="24"/>
        </w:rPr>
        <w:t>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уполномоченным органом исполнительной власти в области государ</w:t>
      </w:r>
      <w:r w:rsidR="00A36C16" w:rsidRPr="007D707B">
        <w:rPr>
          <w:rFonts w:ascii="Times New Roman" w:hAnsi="Times New Roman" w:cs="Times New Roman"/>
          <w:sz w:val="24"/>
          <w:szCs w:val="24"/>
        </w:rPr>
        <w:t>ственного регулирования тарифов</w:t>
      </w:r>
      <w:r w:rsidR="00872E55" w:rsidRPr="007D707B">
        <w:rPr>
          <w:rFonts w:ascii="Times New Roman" w:hAnsi="Times New Roman" w:cs="Times New Roman"/>
          <w:sz w:val="24"/>
          <w:szCs w:val="24"/>
        </w:rPr>
        <w:t xml:space="preserve"> субъекта РФ</w:t>
      </w:r>
      <w:r w:rsidR="00A36C16" w:rsidRPr="007D707B">
        <w:rPr>
          <w:rFonts w:ascii="Times New Roman" w:hAnsi="Times New Roman" w:cs="Times New Roman"/>
          <w:sz w:val="24"/>
          <w:szCs w:val="24"/>
        </w:rPr>
        <w:t>.</w:t>
      </w:r>
      <w:r w:rsidR="00872E55" w:rsidRPr="007D707B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58149F" w:rsidRPr="007D707B" w:rsidRDefault="008C2E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07B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7D707B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7D707B">
        <w:rPr>
          <w:rFonts w:ascii="Times New Roman" w:hAnsi="Times New Roman" w:cs="Times New Roman"/>
          <w:sz w:val="24"/>
          <w:szCs w:val="24"/>
        </w:rPr>
        <w:t>намерение заявителя присоедин</w:t>
      </w:r>
      <w:r w:rsidR="0058149F" w:rsidRPr="007D707B">
        <w:rPr>
          <w:rFonts w:ascii="Times New Roman" w:hAnsi="Times New Roman" w:cs="Times New Roman"/>
          <w:sz w:val="24"/>
          <w:szCs w:val="24"/>
        </w:rPr>
        <w:t xml:space="preserve">ить </w:t>
      </w:r>
      <w:r w:rsidR="00ED42E7" w:rsidRPr="007D707B">
        <w:rPr>
          <w:rFonts w:ascii="Times New Roman" w:hAnsi="Times New Roman" w:cs="Times New Roman"/>
          <w:sz w:val="24"/>
          <w:szCs w:val="24"/>
        </w:rPr>
        <w:t>впервые вводимы</w:t>
      </w:r>
      <w:r w:rsidR="0058149F" w:rsidRPr="007D707B">
        <w:rPr>
          <w:rFonts w:ascii="Times New Roman" w:hAnsi="Times New Roman" w:cs="Times New Roman"/>
          <w:sz w:val="24"/>
          <w:szCs w:val="24"/>
        </w:rPr>
        <w:t>е</w:t>
      </w:r>
      <w:r w:rsidR="00ED42E7" w:rsidRPr="007D707B">
        <w:rPr>
          <w:rFonts w:ascii="Times New Roman" w:hAnsi="Times New Roman" w:cs="Times New Roman"/>
          <w:sz w:val="24"/>
          <w:szCs w:val="24"/>
        </w:rPr>
        <w:t xml:space="preserve"> в эксплуатацию, ранее присоединенны</w:t>
      </w:r>
      <w:r w:rsidR="0058149F" w:rsidRPr="007D707B">
        <w:rPr>
          <w:rFonts w:ascii="Times New Roman" w:hAnsi="Times New Roman" w:cs="Times New Roman"/>
          <w:sz w:val="24"/>
          <w:szCs w:val="24"/>
        </w:rPr>
        <w:t>е</w:t>
      </w:r>
      <w:r w:rsidR="00ED42E7" w:rsidRPr="007D707B">
        <w:rPr>
          <w:rFonts w:ascii="Times New Roman" w:hAnsi="Times New Roman" w:cs="Times New Roman"/>
          <w:sz w:val="24"/>
          <w:szCs w:val="24"/>
        </w:rPr>
        <w:t xml:space="preserve"> энергопринимающи</w:t>
      </w:r>
      <w:r w:rsidR="0058149F" w:rsidRPr="007D707B">
        <w:rPr>
          <w:rFonts w:ascii="Times New Roman" w:hAnsi="Times New Roman" w:cs="Times New Roman"/>
          <w:sz w:val="24"/>
          <w:szCs w:val="24"/>
        </w:rPr>
        <w:t>е</w:t>
      </w:r>
      <w:r w:rsidR="00ED42E7" w:rsidRPr="007D707B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8149F" w:rsidRPr="007D707B">
        <w:rPr>
          <w:rFonts w:ascii="Times New Roman" w:hAnsi="Times New Roman" w:cs="Times New Roman"/>
          <w:sz w:val="24"/>
          <w:szCs w:val="24"/>
        </w:rPr>
        <w:t>а</w:t>
      </w:r>
      <w:r w:rsidR="00ED42E7" w:rsidRPr="007D707B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58149F" w:rsidRPr="007D707B">
        <w:rPr>
          <w:rFonts w:ascii="Times New Roman" w:hAnsi="Times New Roman" w:cs="Times New Roman"/>
          <w:sz w:val="24"/>
          <w:szCs w:val="24"/>
        </w:rPr>
        <w:t>ы</w:t>
      </w:r>
      <w:r w:rsidR="00ED42E7" w:rsidRPr="007D707B">
        <w:rPr>
          <w:rFonts w:ascii="Times New Roman" w:hAnsi="Times New Roman" w:cs="Times New Roman"/>
          <w:sz w:val="24"/>
          <w:szCs w:val="24"/>
        </w:rPr>
        <w:t xml:space="preserve"> электроэнергетики,</w:t>
      </w:r>
      <w:r w:rsidR="0058149F" w:rsidRPr="007D707B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8C2E25" w:rsidRPr="007D707B" w:rsidRDefault="008C2E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D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58" w:rsidRPr="007D707B">
        <w:rPr>
          <w:rFonts w:ascii="Times New Roman" w:hAnsi="Times New Roman" w:cs="Times New Roman"/>
          <w:sz w:val="24"/>
          <w:szCs w:val="24"/>
        </w:rPr>
        <w:t>технологическо</w:t>
      </w:r>
      <w:r w:rsidR="00D26658" w:rsidRPr="007D707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5358" w:rsidRPr="007D707B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 Заявителя</w:t>
      </w:r>
      <w:r w:rsidRPr="007D707B">
        <w:rPr>
          <w:rFonts w:ascii="Times New Roman" w:hAnsi="Times New Roman" w:cs="Times New Roman"/>
          <w:sz w:val="24"/>
          <w:szCs w:val="24"/>
        </w:rPr>
        <w:t>.</w:t>
      </w:r>
    </w:p>
    <w:p w:rsidR="00FC33E3" w:rsidRPr="007D707B" w:rsidRDefault="000825BA" w:rsidP="00D266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7D7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7D707B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7D707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7D707B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7D70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7D707B" w:rsidRDefault="00FC33E3" w:rsidP="00D2665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D707B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7D707B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195358" w:rsidRPr="007D707B">
        <w:rPr>
          <w:rFonts w:ascii="Times New Roman" w:hAnsi="Times New Roman" w:cs="Times New Roman"/>
          <w:b/>
          <w:sz w:val="24"/>
          <w:szCs w:val="24"/>
        </w:rPr>
        <w:t>4 месяца</w:t>
      </w:r>
      <w:r w:rsidR="004F68F4" w:rsidRPr="007D707B">
        <w:rPr>
          <w:rFonts w:ascii="Times New Roman" w:hAnsi="Times New Roman" w:cs="Times New Roman"/>
          <w:sz w:val="24"/>
          <w:szCs w:val="24"/>
        </w:rPr>
        <w:t xml:space="preserve"> с даты</w:t>
      </w:r>
      <w:proofErr w:type="gramEnd"/>
      <w:r w:rsidR="004F68F4" w:rsidRPr="007D707B">
        <w:rPr>
          <w:rFonts w:ascii="Times New Roman" w:hAnsi="Times New Roman" w:cs="Times New Roman"/>
          <w:sz w:val="24"/>
          <w:szCs w:val="24"/>
        </w:rPr>
        <w:t xml:space="preserve"> заключения договора</w:t>
      </w:r>
      <w:r w:rsidR="00195358" w:rsidRPr="007D707B">
        <w:rPr>
          <w:rFonts w:ascii="Times New Roman" w:hAnsi="Times New Roman" w:cs="Times New Roman"/>
          <w:sz w:val="24"/>
          <w:szCs w:val="24"/>
        </w:rPr>
        <w:t>;</w:t>
      </w:r>
    </w:p>
    <w:p w:rsidR="00195358" w:rsidRPr="007D707B" w:rsidRDefault="00195358" w:rsidP="00D2665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707B">
        <w:rPr>
          <w:rFonts w:ascii="Times New Roman" w:hAnsi="Times New Roman" w:cs="Times New Roman"/>
          <w:sz w:val="24"/>
          <w:szCs w:val="24"/>
        </w:rPr>
        <w:t xml:space="preserve">в иных случаях – </w:t>
      </w:r>
      <w:r w:rsidR="00F4469B" w:rsidRPr="007D707B">
        <w:rPr>
          <w:rFonts w:ascii="Times New Roman" w:hAnsi="Times New Roman" w:cs="Times New Roman"/>
          <w:b/>
          <w:sz w:val="24"/>
          <w:szCs w:val="24"/>
        </w:rPr>
        <w:t>1</w:t>
      </w:r>
      <w:r w:rsidRPr="007D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69B" w:rsidRPr="007D707B">
        <w:rPr>
          <w:rFonts w:ascii="Times New Roman" w:hAnsi="Times New Roman" w:cs="Times New Roman"/>
          <w:b/>
          <w:sz w:val="24"/>
          <w:szCs w:val="24"/>
        </w:rPr>
        <w:t>год</w:t>
      </w:r>
      <w:r w:rsidR="004F68F4" w:rsidRPr="007D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7D707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7D707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D26658" w:rsidRPr="007D707B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0653F9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707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6A18FD" w:rsidRPr="007D707B" w:rsidRDefault="006A18FD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-110"/>
        <w:tblW w:w="488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82"/>
        <w:gridCol w:w="2217"/>
        <w:gridCol w:w="2124"/>
        <w:gridCol w:w="2549"/>
        <w:gridCol w:w="2263"/>
        <w:gridCol w:w="1764"/>
        <w:gridCol w:w="2779"/>
      </w:tblGrid>
      <w:tr w:rsidR="007D707B" w:rsidRPr="007D707B" w:rsidTr="007D7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9" w:type="pct"/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8" w:type="pct"/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80" w:type="pct"/>
            <w:shd w:val="clear" w:color="auto" w:fill="FFFFFF" w:themeFill="background1"/>
          </w:tcPr>
          <w:p w:rsidR="00CA183B" w:rsidRPr="007D707B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FA6398" w:rsidRPr="007D707B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A6398" w:rsidRPr="007D707B" w:rsidRDefault="00FA6398" w:rsidP="00D266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Пункты  8, 9, 10,12, 14 Правил технологического присоединения энергопринимающих устройств потребителей электрической энергии</w:t>
            </w:r>
            <w:r w:rsidRPr="007D707B">
              <w:rPr>
                <w:rStyle w:val="ae"/>
                <w:rFonts w:ascii="Times New Roman" w:hAnsi="Times New Roman" w:cs="Times New Roman"/>
              </w:rPr>
              <w:footnoteReference w:id="2"/>
            </w:r>
            <w:r w:rsidRPr="007D707B">
              <w:rPr>
                <w:rFonts w:ascii="Times New Roman" w:hAnsi="Times New Roman" w:cs="Times New Roman"/>
              </w:rPr>
              <w:t>.</w:t>
            </w:r>
          </w:p>
        </w:tc>
      </w:tr>
      <w:tr w:rsidR="007D707B" w:rsidRPr="007D707B" w:rsidTr="007D707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FA6398" w:rsidRPr="007D707B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8" w:type="pct"/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7D707B" w:rsidRDefault="00FA6398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80" w:type="pct"/>
            <w:shd w:val="clear" w:color="auto" w:fill="FFFFFF" w:themeFill="background1"/>
          </w:tcPr>
          <w:p w:rsidR="00FA6398" w:rsidRPr="007D707B" w:rsidRDefault="00FA639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D707B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15 дней со дня  получения заявки; </w:t>
            </w:r>
          </w:p>
          <w:p w:rsidR="002C56E2" w:rsidRPr="007D707B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 отсутствия сведений  (документов) 30 дней </w:t>
            </w:r>
            <w:proofErr w:type="gramStart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сведений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2C56E2" w:rsidRPr="007D707B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7D707B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  (представляет в офис </w:t>
            </w:r>
            <w:r w:rsidRPr="007D707B">
              <w:rPr>
                <w:rFonts w:ascii="Times New Roman" w:hAnsi="Times New Roman" w:cs="Times New Roman"/>
              </w:rPr>
              <w:lastRenderedPageBreak/>
              <w:t>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8" w:type="pct"/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56E2" w:rsidRPr="007D707B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2C56E2" w:rsidRPr="007D707B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</w:t>
            </w:r>
            <w:proofErr w:type="spellStart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80" w:type="pct"/>
            <w:shd w:val="clear" w:color="auto" w:fill="FFFFFF" w:themeFill="background1"/>
          </w:tcPr>
          <w:p w:rsidR="002C56E2" w:rsidRPr="007D707B" w:rsidRDefault="002C56E2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энергопринимающих устройств потребителей </w:t>
            </w:r>
            <w:r w:rsidRPr="007D707B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970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2.3 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9709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D707B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707B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</w:t>
            </w:r>
            <w:r w:rsidRPr="007D707B">
              <w:rPr>
                <w:rFonts w:ascii="Times New Roman" w:hAnsi="Times New Roman" w:cs="Times New Roman"/>
              </w:rPr>
              <w:lastRenderedPageBreak/>
              <w:t>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80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707B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D707B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07B" w:rsidRPr="007D707B" w:rsidTr="007D70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D707B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документов: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 xml:space="preserve">а) копии сертификатов соответствия на электрооборудование (если оборудование подлежит обязательной </w:t>
            </w:r>
            <w:r w:rsidRPr="007D707B">
              <w:rPr>
                <w:rFonts w:ascii="Times New Roman" w:hAnsi="Times New Roman" w:cs="Times New Roman"/>
              </w:rPr>
              <w:lastRenderedPageBreak/>
              <w:t>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г) нормальные (временные нормальные) схемы электрических соединений объекта электроэнергетики</w:t>
            </w:r>
            <w:r w:rsidRPr="007D707B">
              <w:rPr>
                <w:rStyle w:val="ae"/>
                <w:rFonts w:ascii="Times New Roman" w:hAnsi="Times New Roman" w:cs="Times New Roman"/>
              </w:rPr>
              <w:footnoteReference w:id="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>После выполнения технических условий</w:t>
            </w:r>
          </w:p>
        </w:tc>
        <w:tc>
          <w:tcPr>
            <w:tcW w:w="980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сетевой организацией уведомления о выполнении технических 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4.1.</w:t>
            </w:r>
            <w:r w:rsidRPr="007D707B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</w:t>
            </w:r>
            <w:r w:rsidRPr="007D707B">
              <w:rPr>
                <w:rFonts w:ascii="Times New Roman" w:hAnsi="Times New Roman" w:cs="Times New Roman"/>
              </w:rPr>
              <w:lastRenderedPageBreak/>
              <w:t>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6A18FD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D26658" w:rsidRPr="007D707B">
                <w:rPr>
                  <w:rFonts w:ascii="Times New Roman" w:hAnsi="Times New Roman" w:cs="Times New Roman"/>
                </w:rPr>
                <w:t>Акт</w:t>
              </w:r>
            </w:hyperlink>
            <w:r w:rsidR="00D26658" w:rsidRPr="007D707B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 xml:space="preserve">При невыполнении требований </w:t>
            </w:r>
            <w:r w:rsidRPr="007D707B">
              <w:rPr>
                <w:rFonts w:ascii="Times New Roman" w:hAnsi="Times New Roman" w:cs="Times New Roman"/>
              </w:rPr>
              <w:lastRenderedPageBreak/>
              <w:t>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10 </w:t>
            </w:r>
            <w:proofErr w:type="spellStart"/>
            <w:r w:rsidRPr="007D707B">
              <w:rPr>
                <w:rFonts w:ascii="Times New Roman" w:hAnsi="Times New Roman" w:cs="Times New Roman"/>
              </w:rPr>
              <w:t>кВ</w:t>
            </w:r>
            <w:proofErr w:type="spellEnd"/>
            <w:r w:rsidRPr="007D707B">
              <w:rPr>
                <w:rFonts w:ascii="Times New Roman" w:hAnsi="Times New Roman" w:cs="Times New Roman"/>
              </w:rPr>
              <w:t xml:space="preserve"> включительно 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7D707B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</w:t>
            </w: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80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Пункты 18(1), 18(2)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Получение от заявителя сетевой </w:t>
            </w:r>
            <w:r w:rsidRPr="007D707B">
              <w:rPr>
                <w:rFonts w:ascii="Times New Roman" w:hAnsi="Times New Roman" w:cs="Times New Roman"/>
              </w:rPr>
              <w:lastRenderedPageBreak/>
              <w:t>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4.3.</w:t>
            </w:r>
            <w:r w:rsidRPr="007D707B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6A18FD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D26658" w:rsidRPr="007D707B">
                <w:rPr>
                  <w:rFonts w:ascii="Times New Roman" w:hAnsi="Times New Roman" w:cs="Times New Roman"/>
                </w:rPr>
                <w:t>Акт</w:t>
              </w:r>
            </w:hyperlink>
            <w:r w:rsidR="00D26658" w:rsidRPr="007D707B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с </w:t>
            </w:r>
            <w:r w:rsidRPr="007D707B">
              <w:rPr>
                <w:rFonts w:ascii="Times New Roman" w:hAnsi="Times New Roman" w:cs="Times New Roman"/>
              </w:rPr>
              <w:lastRenderedPageBreak/>
              <w:t>приложением информации о принятых мерах по их устранению.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7D707B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6A18FD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D26658" w:rsidRPr="007D707B">
                <w:rPr>
                  <w:rFonts w:ascii="Times New Roman" w:hAnsi="Times New Roman" w:cs="Times New Roman"/>
                </w:rPr>
                <w:t>Акт</w:t>
              </w:r>
            </w:hyperlink>
            <w:r w:rsidR="00D26658" w:rsidRPr="007D707B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80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7D707B">
              <w:t xml:space="preserve"> 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7D707B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4"/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7D707B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707B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3-дневный срок после проведения осмотра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4.4. </w:t>
            </w:r>
            <w:r w:rsidRPr="007D707B">
              <w:rPr>
                <w:rFonts w:ascii="Times New Roman" w:hAnsi="Times New Roman" w:cs="Times New Roman"/>
              </w:rPr>
              <w:t xml:space="preserve">Заявитель возвращает в сетевую организацию один экземпляр подписанного со своей стороны акта о выполнении </w:t>
            </w:r>
            <w:r w:rsidRPr="007D707B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 xml:space="preserve">Подписанный Акт о выполнении технических условий в письменной форме направляется  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707B">
              <w:rPr>
                <w:rFonts w:ascii="Times New Roman" w:hAnsi="Times New Roman" w:cs="Times New Roman"/>
              </w:rPr>
              <w:t xml:space="preserve">, позволяющим </w:t>
            </w:r>
            <w:r w:rsidRPr="007D707B">
              <w:rPr>
                <w:rFonts w:ascii="Times New Roman" w:hAnsi="Times New Roman" w:cs="Times New Roman"/>
              </w:rPr>
              <w:lastRenderedPageBreak/>
              <w:t>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 xml:space="preserve">В течение 5 дней со дня получения подписанного сетевой организацией акта о </w:t>
            </w:r>
            <w:r w:rsidRPr="007D707B">
              <w:rPr>
                <w:rFonts w:ascii="Times New Roman" w:hAnsi="Times New Roman" w:cs="Times New Roman"/>
              </w:rPr>
              <w:lastRenderedPageBreak/>
              <w:t>выполнении технических условий</w:t>
            </w:r>
          </w:p>
        </w:tc>
        <w:tc>
          <w:tcPr>
            <w:tcW w:w="980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lastRenderedPageBreak/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7D707B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7D707B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8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7D707B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D707B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7D707B" w:rsidRPr="007D707B" w:rsidTr="007D7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70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7D707B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7D707B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7D707B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07B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r w:rsidRPr="007D707B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сетевую </w:t>
            </w:r>
            <w:r w:rsidRPr="007D707B">
              <w:rPr>
                <w:rFonts w:ascii="Times New Roman" w:hAnsi="Times New Roman" w:cs="Times New Roman"/>
              </w:rPr>
              <w:lastRenderedPageBreak/>
              <w:t>организацию.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26658" w:rsidRPr="007D707B" w:rsidRDefault="00D26658" w:rsidP="00D26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07B">
              <w:rPr>
                <w:rFonts w:ascii="Times New Roman" w:hAnsi="Times New Roman" w:cs="Times New Roman"/>
              </w:rPr>
              <w:lastRenderedPageBreak/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Pr="00D26658" w:rsidRDefault="00CA183B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D707B" w:rsidRPr="00174772" w:rsidRDefault="007D707B" w:rsidP="007D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07B" w:rsidRPr="00174772" w:rsidRDefault="007D707B" w:rsidP="007D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C31795" w:rsidRDefault="007D707B" w:rsidP="007D707B">
      <w:pPr>
        <w:pStyle w:val="ConsPlusNormal"/>
        <w:jc w:val="both"/>
        <w:rPr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D26658" w:rsidRDefault="000653F9" w:rsidP="00C3179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D26658" w:rsidSect="00BE6313">
      <w:pgSz w:w="16838" w:h="11906" w:orient="landscape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D0" w:rsidRDefault="003A30D0" w:rsidP="00DC7CA8">
      <w:pPr>
        <w:spacing w:after="0" w:line="240" w:lineRule="auto"/>
      </w:pPr>
      <w:r>
        <w:separator/>
      </w:r>
    </w:p>
  </w:endnote>
  <w:endnote w:type="continuationSeparator" w:id="0">
    <w:p w:rsidR="003A30D0" w:rsidRDefault="003A30D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D0" w:rsidRDefault="003A30D0" w:rsidP="00DC7CA8">
      <w:pPr>
        <w:spacing w:after="0" w:line="240" w:lineRule="auto"/>
      </w:pPr>
      <w:r>
        <w:separator/>
      </w:r>
    </w:p>
  </w:footnote>
  <w:footnote w:type="continuationSeparator" w:id="0">
    <w:p w:rsidR="003A30D0" w:rsidRDefault="003A30D0" w:rsidP="00DC7CA8">
      <w:pPr>
        <w:spacing w:after="0" w:line="240" w:lineRule="auto"/>
      </w:pPr>
      <w:r>
        <w:continuationSeparator/>
      </w:r>
    </w:p>
  </w:footnote>
  <w:footnote w:id="1">
    <w:p w:rsidR="00872E55" w:rsidRPr="00872E55" w:rsidRDefault="00872E55" w:rsidP="00872E5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FA6398" w:rsidRPr="00872E55" w:rsidRDefault="00FA6398" w:rsidP="006967D4">
      <w:pPr>
        <w:pStyle w:val="ac"/>
        <w:rPr>
          <w:rFonts w:ascii="Times New Roman" w:hAnsi="Times New Roman" w:cs="Times New Roman"/>
          <w:sz w:val="24"/>
          <w:szCs w:val="24"/>
        </w:rPr>
      </w:pPr>
      <w:r w:rsidRPr="00872E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72E55">
        <w:rPr>
          <w:rFonts w:ascii="Times New Roman" w:hAnsi="Times New Roman" w:cs="Times New Roman"/>
          <w:sz w:val="24"/>
          <w:szCs w:val="24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D26658" w:rsidRPr="00872E55" w:rsidRDefault="00D26658" w:rsidP="00142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72E55">
        <w:rPr>
          <w:rFonts w:ascii="Times New Roman" w:hAnsi="Times New Roman" w:cs="Times New Roman"/>
          <w:sz w:val="24"/>
          <w:szCs w:val="24"/>
        </w:rPr>
        <w:t xml:space="preserve"> )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872E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72E55">
        <w:rPr>
          <w:rFonts w:ascii="Times New Roman" w:hAnsi="Times New Roman" w:cs="Times New Roman"/>
          <w:sz w:val="24"/>
          <w:szCs w:val="24"/>
        </w:rPr>
        <w:t>, осветительные установки, переносное электрооборудование и энергопринимающие устройства номинальным напряжением не выше 380 В.</w:t>
      </w:r>
    </w:p>
  </w:footnote>
  <w:footnote w:id="4">
    <w:p w:rsidR="00D26658" w:rsidRPr="00872E55" w:rsidRDefault="00D26658" w:rsidP="00B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5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72E55">
        <w:rPr>
          <w:rFonts w:ascii="Times New Roman" w:hAnsi="Times New Roman" w:cs="Times New Roman"/>
          <w:sz w:val="24"/>
          <w:szCs w:val="24"/>
        </w:rPr>
        <w:t xml:space="preserve"> </w:t>
      </w:r>
      <w:r w:rsidRPr="0087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872E55"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C2731"/>
    <w:rsid w:val="000C3C93"/>
    <w:rsid w:val="000D0D64"/>
    <w:rsid w:val="000E710C"/>
    <w:rsid w:val="0013266D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0F3D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7161F"/>
    <w:rsid w:val="003A30D0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12BBD"/>
    <w:rsid w:val="00420452"/>
    <w:rsid w:val="00426DA0"/>
    <w:rsid w:val="00442712"/>
    <w:rsid w:val="00443775"/>
    <w:rsid w:val="004A4D60"/>
    <w:rsid w:val="004B75E4"/>
    <w:rsid w:val="004D2FC8"/>
    <w:rsid w:val="004F68F4"/>
    <w:rsid w:val="0051045A"/>
    <w:rsid w:val="0051352D"/>
    <w:rsid w:val="00524428"/>
    <w:rsid w:val="00534E9A"/>
    <w:rsid w:val="00557796"/>
    <w:rsid w:val="0058149F"/>
    <w:rsid w:val="00584BD8"/>
    <w:rsid w:val="005B627E"/>
    <w:rsid w:val="005C22A7"/>
    <w:rsid w:val="005E5AAE"/>
    <w:rsid w:val="005F2F3E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82244"/>
    <w:rsid w:val="00690D12"/>
    <w:rsid w:val="00693797"/>
    <w:rsid w:val="006967D4"/>
    <w:rsid w:val="006A18FD"/>
    <w:rsid w:val="006A3ACA"/>
    <w:rsid w:val="006D2EDE"/>
    <w:rsid w:val="006F2514"/>
    <w:rsid w:val="006F446F"/>
    <w:rsid w:val="0070128B"/>
    <w:rsid w:val="00762B2B"/>
    <w:rsid w:val="00776C32"/>
    <w:rsid w:val="0078335E"/>
    <w:rsid w:val="007877ED"/>
    <w:rsid w:val="007919F1"/>
    <w:rsid w:val="007A2C8F"/>
    <w:rsid w:val="007C5088"/>
    <w:rsid w:val="007D707B"/>
    <w:rsid w:val="007E41FA"/>
    <w:rsid w:val="00806C78"/>
    <w:rsid w:val="008117CC"/>
    <w:rsid w:val="00823FF3"/>
    <w:rsid w:val="00824E68"/>
    <w:rsid w:val="008254DA"/>
    <w:rsid w:val="0082713E"/>
    <w:rsid w:val="00863174"/>
    <w:rsid w:val="0086326F"/>
    <w:rsid w:val="00872E55"/>
    <w:rsid w:val="008C2E25"/>
    <w:rsid w:val="008C64E4"/>
    <w:rsid w:val="008D2E8D"/>
    <w:rsid w:val="008E16CB"/>
    <w:rsid w:val="009001F4"/>
    <w:rsid w:val="00904E58"/>
    <w:rsid w:val="00996EEC"/>
    <w:rsid w:val="009D7322"/>
    <w:rsid w:val="00A22C5F"/>
    <w:rsid w:val="00A36C16"/>
    <w:rsid w:val="00A44E14"/>
    <w:rsid w:val="00A474DD"/>
    <w:rsid w:val="00A61E75"/>
    <w:rsid w:val="00A705D8"/>
    <w:rsid w:val="00AC3BB0"/>
    <w:rsid w:val="00AE08E3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6313"/>
    <w:rsid w:val="00BE7298"/>
    <w:rsid w:val="00C02B7A"/>
    <w:rsid w:val="00C05A4F"/>
    <w:rsid w:val="00C20511"/>
    <w:rsid w:val="00C2064F"/>
    <w:rsid w:val="00C25F4B"/>
    <w:rsid w:val="00C31795"/>
    <w:rsid w:val="00C379FF"/>
    <w:rsid w:val="00C458B0"/>
    <w:rsid w:val="00C514F8"/>
    <w:rsid w:val="00C7174A"/>
    <w:rsid w:val="00C74D96"/>
    <w:rsid w:val="00C75E65"/>
    <w:rsid w:val="00CA183B"/>
    <w:rsid w:val="00CA1E91"/>
    <w:rsid w:val="00CC1A0A"/>
    <w:rsid w:val="00CC211B"/>
    <w:rsid w:val="00CF1785"/>
    <w:rsid w:val="00D1019A"/>
    <w:rsid w:val="00D26658"/>
    <w:rsid w:val="00D34055"/>
    <w:rsid w:val="00D37687"/>
    <w:rsid w:val="00D47D80"/>
    <w:rsid w:val="00D50811"/>
    <w:rsid w:val="00D50CC7"/>
    <w:rsid w:val="00D679FC"/>
    <w:rsid w:val="00D73C9D"/>
    <w:rsid w:val="00DC03DD"/>
    <w:rsid w:val="00DC7CA8"/>
    <w:rsid w:val="00E01206"/>
    <w:rsid w:val="00E20DAF"/>
    <w:rsid w:val="00E36F56"/>
    <w:rsid w:val="00E5056E"/>
    <w:rsid w:val="00E53D9B"/>
    <w:rsid w:val="00E557B2"/>
    <w:rsid w:val="00E60E5C"/>
    <w:rsid w:val="00E70070"/>
    <w:rsid w:val="00E70F7F"/>
    <w:rsid w:val="00EA53BE"/>
    <w:rsid w:val="00EC6F80"/>
    <w:rsid w:val="00ED42E7"/>
    <w:rsid w:val="00EE2C63"/>
    <w:rsid w:val="00F4184B"/>
    <w:rsid w:val="00F4469B"/>
    <w:rsid w:val="00F87578"/>
    <w:rsid w:val="00FA6398"/>
    <w:rsid w:val="00FC139B"/>
    <w:rsid w:val="00FC1E5A"/>
    <w:rsid w:val="00FC33E3"/>
    <w:rsid w:val="00FE0A69"/>
    <w:rsid w:val="00FF1355"/>
    <w:rsid w:val="00FF3DD0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31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31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omskagreg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61B2-E983-4E27-B88D-01AEBA15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9</cp:revision>
  <cp:lastPrinted>2014-08-01T10:40:00Z</cp:lastPrinted>
  <dcterms:created xsi:type="dcterms:W3CDTF">2015-05-26T07:22:00Z</dcterms:created>
  <dcterms:modified xsi:type="dcterms:W3CDTF">2017-12-07T04:56:00Z</dcterms:modified>
</cp:coreProperties>
</file>